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782C" w14:textId="77777777" w:rsidR="005D18BA" w:rsidRDefault="005D18BA" w:rsidP="005D18BA">
      <w:pPr>
        <w:pStyle w:val="Nadpis1"/>
      </w:pPr>
      <w:r>
        <w:t>Seznam v</w:t>
      </w:r>
      <w:r>
        <w:t>ydavatel</w:t>
      </w:r>
      <w:r>
        <w:t>ů pro výčet výkonových indikátorů v roce 2022</w:t>
      </w:r>
    </w:p>
    <w:p w14:paraId="66F27514" w14:textId="77777777" w:rsidR="005D18BA" w:rsidRDefault="005D18BA" w:rsidP="005D18BA"/>
    <w:p w14:paraId="072737C8" w14:textId="535B0C44" w:rsidR="00E12BCF" w:rsidRPr="005D18BA" w:rsidRDefault="00E12BCF" w:rsidP="005D18BA">
      <w:pPr>
        <w:sectPr w:rsidR="00E12BCF" w:rsidRPr="005D18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E7ACE3" w14:textId="4EDCC966" w:rsidR="005D18BA" w:rsidRDefault="005D18BA" w:rsidP="005D18BA">
      <w:pPr>
        <w:spacing w:after="0" w:line="240" w:lineRule="auto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Press</w:t>
      </w:r>
      <w:proofErr w:type="spellEnd"/>
    </w:p>
    <w:p w14:paraId="48E06C96" w14:textId="77777777" w:rsidR="005D18BA" w:rsidRDefault="005D18BA" w:rsidP="005D18BA">
      <w:pPr>
        <w:spacing w:after="0" w:line="240" w:lineRule="auto"/>
      </w:pPr>
      <w:r>
        <w:t xml:space="preserve">Amsterdam University </w:t>
      </w:r>
      <w:proofErr w:type="spellStart"/>
      <w:r>
        <w:t>Press</w:t>
      </w:r>
      <w:proofErr w:type="spellEnd"/>
    </w:p>
    <w:p w14:paraId="64B29486" w14:textId="77777777" w:rsidR="005D18BA" w:rsidRDefault="005D18BA" w:rsidP="005D18BA">
      <w:pPr>
        <w:spacing w:after="0" w:line="240" w:lineRule="auto"/>
      </w:pPr>
      <w:r>
        <w:t xml:space="preserve">Barbara </w:t>
      </w:r>
      <w:proofErr w:type="spellStart"/>
      <w:r>
        <w:t>Budrich</w:t>
      </w:r>
      <w:proofErr w:type="spellEnd"/>
      <w:r>
        <w:t xml:space="preserve"> </w:t>
      </w:r>
      <w:proofErr w:type="spellStart"/>
      <w:r>
        <w:t>Publishers</w:t>
      </w:r>
      <w:proofErr w:type="spellEnd"/>
    </w:p>
    <w:p w14:paraId="31F8D74F" w14:textId="77777777" w:rsidR="005D18BA" w:rsidRDefault="005D18BA" w:rsidP="005D18BA">
      <w:pPr>
        <w:spacing w:after="0" w:line="240" w:lineRule="auto"/>
      </w:pP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</w:p>
    <w:p w14:paraId="3268CA7E" w14:textId="77777777" w:rsidR="005D18BA" w:rsidRDefault="005D18BA" w:rsidP="005D18BA">
      <w:pPr>
        <w:spacing w:after="0" w:line="240" w:lineRule="auto"/>
      </w:pPr>
      <w:proofErr w:type="spellStart"/>
      <w:r>
        <w:t>Bloomsbury</w:t>
      </w:r>
      <w:proofErr w:type="spellEnd"/>
      <w:r>
        <w:t xml:space="preserve"> </w:t>
      </w:r>
      <w:proofErr w:type="spellStart"/>
      <w:r>
        <w:t>Publishing</w:t>
      </w:r>
      <w:proofErr w:type="spellEnd"/>
    </w:p>
    <w:p w14:paraId="792D009D" w14:textId="77777777" w:rsidR="005D18BA" w:rsidRDefault="005D18BA" w:rsidP="005D18BA">
      <w:pPr>
        <w:spacing w:after="0" w:line="240" w:lineRule="auto"/>
      </w:pPr>
      <w:proofErr w:type="spellStart"/>
      <w:r>
        <w:t>Brepols</w:t>
      </w:r>
      <w:proofErr w:type="spellEnd"/>
      <w:r>
        <w:t xml:space="preserve"> </w:t>
      </w:r>
      <w:proofErr w:type="spellStart"/>
      <w:r>
        <w:t>Publishers</w:t>
      </w:r>
      <w:proofErr w:type="spellEnd"/>
    </w:p>
    <w:p w14:paraId="4E7D73C1" w14:textId="77777777" w:rsidR="005D18BA" w:rsidRDefault="005D18BA" w:rsidP="005D18BA">
      <w:pPr>
        <w:spacing w:after="0" w:line="240" w:lineRule="auto"/>
      </w:pPr>
      <w:proofErr w:type="spellStart"/>
      <w:r>
        <w:t>Brill</w:t>
      </w:r>
      <w:proofErr w:type="spellEnd"/>
    </w:p>
    <w:p w14:paraId="3DCEA288" w14:textId="77777777" w:rsidR="005D18BA" w:rsidRDefault="005D18BA" w:rsidP="005D18BA">
      <w:pPr>
        <w:spacing w:after="0" w:line="240" w:lineRule="auto"/>
      </w:pPr>
      <w:proofErr w:type="spellStart"/>
      <w:r>
        <w:t>Brill</w:t>
      </w:r>
      <w:proofErr w:type="spellEnd"/>
      <w:r>
        <w:t xml:space="preserve"> | </w:t>
      </w:r>
      <w:proofErr w:type="spellStart"/>
      <w:r>
        <w:t>Nijhoff</w:t>
      </w:r>
      <w:proofErr w:type="spellEnd"/>
    </w:p>
    <w:p w14:paraId="3B3E1911" w14:textId="77777777" w:rsidR="005D18BA" w:rsidRDefault="005D18BA" w:rsidP="005D18BA">
      <w:pPr>
        <w:spacing w:after="0" w:line="240" w:lineRule="auto"/>
      </w:pPr>
      <w:proofErr w:type="spellStart"/>
      <w:r>
        <w:t>Brill</w:t>
      </w:r>
      <w:proofErr w:type="spellEnd"/>
      <w:r>
        <w:t xml:space="preserve"> | </w:t>
      </w:r>
      <w:proofErr w:type="spellStart"/>
      <w:r>
        <w:t>Rodopi</w:t>
      </w:r>
      <w:proofErr w:type="spellEnd"/>
    </w:p>
    <w:p w14:paraId="58547CF6" w14:textId="77777777" w:rsidR="005D18BA" w:rsidRDefault="005D18BA" w:rsidP="005D18BA">
      <w:pPr>
        <w:spacing w:after="0" w:line="240" w:lineRule="auto"/>
      </w:pPr>
      <w:proofErr w:type="spellStart"/>
      <w:r>
        <w:t>Bulzoni</w:t>
      </w:r>
      <w:proofErr w:type="spellEnd"/>
      <w:r>
        <w:t xml:space="preserve"> Editore</w:t>
      </w:r>
    </w:p>
    <w:p w14:paraId="3C4AD6C3" w14:textId="77777777" w:rsidR="005D18BA" w:rsidRDefault="005D18BA" w:rsidP="005D18BA">
      <w:pPr>
        <w:spacing w:after="0" w:line="240" w:lineRule="auto"/>
      </w:pPr>
      <w:r>
        <w:t>C. H. Beck</w:t>
      </w:r>
    </w:p>
    <w:p w14:paraId="1E1DD82D" w14:textId="77777777" w:rsidR="005D18BA" w:rsidRDefault="005D18BA" w:rsidP="005D18BA">
      <w:pPr>
        <w:spacing w:after="0" w:line="240" w:lineRule="auto"/>
      </w:pPr>
      <w:r>
        <w:t xml:space="preserve">Cambridge University </w:t>
      </w:r>
      <w:proofErr w:type="spellStart"/>
      <w:r>
        <w:t>Press</w:t>
      </w:r>
      <w:proofErr w:type="spellEnd"/>
    </w:p>
    <w:p w14:paraId="79FAE7F2" w14:textId="77777777" w:rsidR="005D18BA" w:rsidRDefault="005D18BA" w:rsidP="005D18BA">
      <w:pPr>
        <w:spacing w:after="0" w:line="240" w:lineRule="auto"/>
      </w:pPr>
      <w:r>
        <w:t xml:space="preserve">Columbia University </w:t>
      </w:r>
      <w:proofErr w:type="spellStart"/>
      <w:r>
        <w:t>Press</w:t>
      </w:r>
      <w:proofErr w:type="spellEnd"/>
    </w:p>
    <w:p w14:paraId="29A1388F" w14:textId="77777777" w:rsidR="005D18BA" w:rsidRDefault="005D18BA" w:rsidP="005D18BA">
      <w:pPr>
        <w:spacing w:after="0" w:line="240" w:lineRule="auto"/>
      </w:pPr>
      <w:proofErr w:type="spellStart"/>
      <w:r>
        <w:t>Cornell</w:t>
      </w:r>
      <w:proofErr w:type="spellEnd"/>
      <w:r>
        <w:t xml:space="preserve"> University </w:t>
      </w:r>
      <w:proofErr w:type="spellStart"/>
      <w:r>
        <w:t>Press</w:t>
      </w:r>
      <w:proofErr w:type="spellEnd"/>
    </w:p>
    <w:p w14:paraId="2903935A" w14:textId="77777777" w:rsidR="005D18BA" w:rsidRDefault="005D18BA" w:rsidP="005D18BA">
      <w:pPr>
        <w:spacing w:after="0" w:line="240" w:lineRule="auto"/>
      </w:pPr>
      <w:r>
        <w:t xml:space="preserve">De </w:t>
      </w:r>
      <w:proofErr w:type="spellStart"/>
      <w:r>
        <w:t>Gruyter</w:t>
      </w:r>
      <w:proofErr w:type="spellEnd"/>
    </w:p>
    <w:p w14:paraId="0938AF87" w14:textId="77777777" w:rsidR="005D18BA" w:rsidRDefault="005D18BA" w:rsidP="005D18BA">
      <w:pPr>
        <w:spacing w:after="0" w:line="240" w:lineRule="auto"/>
      </w:pPr>
      <w:proofErr w:type="spellStart"/>
      <w:r>
        <w:t>Duke</w:t>
      </w:r>
      <w:proofErr w:type="spellEnd"/>
      <w:r>
        <w:t xml:space="preserve"> University </w:t>
      </w:r>
      <w:proofErr w:type="spellStart"/>
      <w:r>
        <w:t>Press</w:t>
      </w:r>
      <w:proofErr w:type="spellEnd"/>
    </w:p>
    <w:p w14:paraId="5EB27AA0" w14:textId="77777777" w:rsidR="005D18BA" w:rsidRDefault="005D18BA" w:rsidP="005D18BA">
      <w:pPr>
        <w:spacing w:after="0" w:line="240" w:lineRule="auto"/>
      </w:pPr>
      <w:r>
        <w:t xml:space="preserve">Edinburgh University </w:t>
      </w:r>
      <w:proofErr w:type="spellStart"/>
      <w:r>
        <w:t>Press</w:t>
      </w:r>
      <w:proofErr w:type="spellEnd"/>
    </w:p>
    <w:p w14:paraId="001728E4" w14:textId="77777777" w:rsidR="005D18BA" w:rsidRDefault="005D18BA" w:rsidP="005D18BA">
      <w:pPr>
        <w:spacing w:after="0" w:line="240" w:lineRule="auto"/>
      </w:pPr>
      <w:proofErr w:type="spellStart"/>
      <w:r>
        <w:t>Éditions</w:t>
      </w:r>
      <w:proofErr w:type="spellEnd"/>
      <w:r>
        <w:t xml:space="preserve"> de la </w:t>
      </w:r>
      <w:proofErr w:type="spellStart"/>
      <w:r>
        <w:t>Sorbonne</w:t>
      </w:r>
      <w:proofErr w:type="spellEnd"/>
    </w:p>
    <w:p w14:paraId="1388615D" w14:textId="77777777" w:rsidR="005D18BA" w:rsidRDefault="005D18BA" w:rsidP="005D18BA">
      <w:pPr>
        <w:spacing w:after="0" w:line="240" w:lineRule="auto"/>
      </w:pPr>
      <w:r>
        <w:t xml:space="preserve">Edward </w:t>
      </w:r>
      <w:proofErr w:type="spellStart"/>
      <w:r>
        <w:t>Elgar</w:t>
      </w:r>
      <w:proofErr w:type="spellEnd"/>
      <w:r>
        <w:t xml:space="preserve"> </w:t>
      </w:r>
      <w:proofErr w:type="spellStart"/>
      <w:r>
        <w:t>Publishing</w:t>
      </w:r>
      <w:proofErr w:type="spellEnd"/>
    </w:p>
    <w:p w14:paraId="720BD88B" w14:textId="77777777" w:rsidR="005D18BA" w:rsidRDefault="005D18BA" w:rsidP="005D18BA">
      <w:pPr>
        <w:spacing w:after="0" w:line="240" w:lineRule="auto"/>
      </w:pPr>
      <w:proofErr w:type="spellStart"/>
      <w:r>
        <w:t>Equinox</w:t>
      </w:r>
      <w:proofErr w:type="spellEnd"/>
    </w:p>
    <w:p w14:paraId="4B7F36FD" w14:textId="77777777" w:rsidR="005D18BA" w:rsidRDefault="005D18BA" w:rsidP="005D18BA">
      <w:pPr>
        <w:spacing w:after="0" w:line="240" w:lineRule="auto"/>
      </w:pPr>
      <w:r>
        <w:t>Flinta-Nauka</w:t>
      </w:r>
    </w:p>
    <w:p w14:paraId="6A6D5E4D" w14:textId="77777777" w:rsidR="005D18BA" w:rsidRDefault="005D18BA" w:rsidP="005D18BA">
      <w:pPr>
        <w:spacing w:after="0" w:line="240" w:lineRule="auto"/>
      </w:pPr>
      <w:r>
        <w:t xml:space="preserve">Franz Steiner </w:t>
      </w:r>
      <w:proofErr w:type="spellStart"/>
      <w:r>
        <w:t>Verlag</w:t>
      </w:r>
      <w:proofErr w:type="spellEnd"/>
    </w:p>
    <w:p w14:paraId="00C79A60" w14:textId="77777777" w:rsidR="005D18BA" w:rsidRDefault="005D18BA" w:rsidP="005D18BA">
      <w:pPr>
        <w:spacing w:after="0" w:line="240" w:lineRule="auto"/>
      </w:pPr>
      <w:proofErr w:type="spellStart"/>
      <w:r>
        <w:t>Harrassowitz</w:t>
      </w:r>
      <w:proofErr w:type="spellEnd"/>
      <w:r>
        <w:t xml:space="preserve"> </w:t>
      </w:r>
      <w:proofErr w:type="spellStart"/>
      <w:r>
        <w:t>Verlag</w:t>
      </w:r>
      <w:proofErr w:type="spellEnd"/>
    </w:p>
    <w:p w14:paraId="047A05A8" w14:textId="77777777" w:rsidR="005D18BA" w:rsidRDefault="005D18BA" w:rsidP="005D18BA">
      <w:pPr>
        <w:spacing w:after="0" w:line="240" w:lineRule="auto"/>
      </w:pPr>
      <w:r>
        <w:t xml:space="preserve">Hart </w:t>
      </w:r>
      <w:proofErr w:type="spellStart"/>
      <w:r>
        <w:t>Publishing</w:t>
      </w:r>
      <w:proofErr w:type="spellEnd"/>
    </w:p>
    <w:p w14:paraId="5837BB06" w14:textId="77777777" w:rsidR="005D18BA" w:rsidRDefault="005D18BA" w:rsidP="005D18BA">
      <w:pPr>
        <w:spacing w:after="0" w:line="240" w:lineRule="auto"/>
      </w:pPr>
      <w:r>
        <w:t xml:space="preserve">Harvard University </w:t>
      </w:r>
      <w:proofErr w:type="spellStart"/>
      <w:r>
        <w:t>Press</w:t>
      </w:r>
      <w:proofErr w:type="spellEnd"/>
    </w:p>
    <w:p w14:paraId="6D0EB4F8" w14:textId="77777777" w:rsidR="005D18BA" w:rsidRDefault="005D18BA" w:rsidP="005D18BA">
      <w:pPr>
        <w:spacing w:after="0" w:line="240" w:lineRule="auto"/>
      </w:pPr>
      <w:proofErr w:type="spellStart"/>
      <w:r>
        <w:t>Iberoamericana-Vervuert</w:t>
      </w:r>
      <w:proofErr w:type="spellEnd"/>
    </w:p>
    <w:p w14:paraId="68417C3C" w14:textId="77777777" w:rsidR="005D18BA" w:rsidRDefault="005D18BA" w:rsidP="005D18BA">
      <w:pPr>
        <w:spacing w:after="0" w:line="240" w:lineRule="auto"/>
      </w:pPr>
      <w:proofErr w:type="spellStart"/>
      <w:r>
        <w:t>Intellect</w:t>
      </w:r>
      <w:proofErr w:type="spellEnd"/>
      <w:r>
        <w:t xml:space="preserve"> (Bristol, United </w:t>
      </w:r>
      <w:proofErr w:type="spellStart"/>
      <w:r>
        <w:t>Kingdom</w:t>
      </w:r>
      <w:proofErr w:type="spellEnd"/>
      <w:r>
        <w:t>)</w:t>
      </w:r>
    </w:p>
    <w:p w14:paraId="33480A9A" w14:textId="77777777" w:rsidR="005D18BA" w:rsidRDefault="005D18BA" w:rsidP="005D18BA">
      <w:pPr>
        <w:spacing w:after="0" w:line="240" w:lineRule="auto"/>
      </w:pPr>
      <w:proofErr w:type="spellStart"/>
      <w:r>
        <w:t>Intersentia</w:t>
      </w:r>
      <w:proofErr w:type="spellEnd"/>
    </w:p>
    <w:p w14:paraId="6DCB72A2" w14:textId="77777777" w:rsidR="005D18BA" w:rsidRDefault="005D18BA" w:rsidP="005D18BA">
      <w:pPr>
        <w:spacing w:after="0" w:line="240" w:lineRule="auto"/>
      </w:pPr>
      <w:r>
        <w:t xml:space="preserve">John </w:t>
      </w:r>
      <w:proofErr w:type="spellStart"/>
      <w:r>
        <w:t>Benjamins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Company</w:t>
      </w:r>
      <w:proofErr w:type="spellEnd"/>
    </w:p>
    <w:p w14:paraId="30F9B600" w14:textId="77777777" w:rsidR="005D18BA" w:rsidRDefault="005D18BA" w:rsidP="005D18BA">
      <w:pPr>
        <w:spacing w:after="0" w:line="240" w:lineRule="auto"/>
      </w:pPr>
      <w:proofErr w:type="spellStart"/>
      <w:r>
        <w:t>John’s</w:t>
      </w:r>
      <w:proofErr w:type="spellEnd"/>
      <w:r>
        <w:t xml:space="preserve"> </w:t>
      </w:r>
      <w:proofErr w:type="spellStart"/>
      <w:r>
        <w:t>Hopkins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 xml:space="preserve"> </w:t>
      </w:r>
    </w:p>
    <w:p w14:paraId="76C7EF4B" w14:textId="77777777" w:rsidR="005D18BA" w:rsidRDefault="005D18BA" w:rsidP="005D18BA">
      <w:pPr>
        <w:spacing w:after="0" w:line="240" w:lineRule="auto"/>
      </w:pPr>
      <w:r>
        <w:t xml:space="preserve">LIT </w:t>
      </w:r>
      <w:proofErr w:type="spellStart"/>
      <w:r>
        <w:t>Verlag</w:t>
      </w:r>
      <w:proofErr w:type="spellEnd"/>
    </w:p>
    <w:p w14:paraId="6F341385" w14:textId="77777777" w:rsidR="005D18BA" w:rsidRDefault="005D18BA" w:rsidP="005D18BA">
      <w:pPr>
        <w:spacing w:after="0" w:line="240" w:lineRule="auto"/>
      </w:pPr>
      <w:r>
        <w:t>Logos</w:t>
      </w:r>
    </w:p>
    <w:p w14:paraId="3BDDB826" w14:textId="77777777" w:rsidR="005D18BA" w:rsidRDefault="005D18BA" w:rsidP="005D18BA">
      <w:pPr>
        <w:spacing w:after="0" w:line="240" w:lineRule="auto"/>
      </w:pPr>
      <w:proofErr w:type="spellStart"/>
      <w:r>
        <w:t>Matica</w:t>
      </w:r>
      <w:proofErr w:type="spellEnd"/>
      <w:r>
        <w:t xml:space="preserve"> </w:t>
      </w:r>
      <w:proofErr w:type="spellStart"/>
      <w:r>
        <w:t>hrvatska</w:t>
      </w:r>
      <w:proofErr w:type="spellEnd"/>
    </w:p>
    <w:p w14:paraId="43EE53C2" w14:textId="77777777" w:rsidR="005D18BA" w:rsidRDefault="005D18BA" w:rsidP="005D18BA">
      <w:pPr>
        <w:spacing w:after="0" w:line="240" w:lineRule="auto"/>
      </w:pPr>
      <w:r>
        <w:t xml:space="preserve">MIT </w:t>
      </w:r>
      <w:proofErr w:type="spellStart"/>
      <w:r>
        <w:t>Press</w:t>
      </w:r>
      <w:proofErr w:type="spellEnd"/>
    </w:p>
    <w:p w14:paraId="29101E08" w14:textId="77777777" w:rsidR="005D18BA" w:rsidRDefault="005D18BA" w:rsidP="005D18BA">
      <w:pPr>
        <w:spacing w:after="0" w:line="240" w:lineRule="auto"/>
      </w:pPr>
      <w:proofErr w:type="spellStart"/>
      <w:r>
        <w:t>Mohr</w:t>
      </w:r>
      <w:proofErr w:type="spellEnd"/>
      <w:r>
        <w:t xml:space="preserve"> </w:t>
      </w:r>
      <w:proofErr w:type="spellStart"/>
      <w:r>
        <w:t>Siebeck</w:t>
      </w:r>
      <w:proofErr w:type="spellEnd"/>
    </w:p>
    <w:p w14:paraId="6A5CE99A" w14:textId="77777777" w:rsidR="005D18BA" w:rsidRDefault="005D18BA" w:rsidP="005D18BA">
      <w:pPr>
        <w:spacing w:after="0" w:line="240" w:lineRule="auto"/>
      </w:pPr>
      <w:proofErr w:type="spellStart"/>
      <w:r>
        <w:t>Nakladateství</w:t>
      </w:r>
      <w:proofErr w:type="spellEnd"/>
      <w:r>
        <w:t xml:space="preserve"> Matice srbské</w:t>
      </w:r>
    </w:p>
    <w:p w14:paraId="097AAAD7" w14:textId="77777777" w:rsidR="005D18BA" w:rsidRDefault="005D18BA" w:rsidP="005D18BA">
      <w:pPr>
        <w:spacing w:after="0" w:line="240" w:lineRule="auto"/>
      </w:pPr>
      <w:r>
        <w:t xml:space="preserve">Nomos </w:t>
      </w:r>
    </w:p>
    <w:p w14:paraId="41F8B12E" w14:textId="77777777" w:rsidR="005D18BA" w:rsidRDefault="005D18BA" w:rsidP="005D18BA">
      <w:pPr>
        <w:spacing w:after="0" w:line="240" w:lineRule="auto"/>
      </w:pPr>
      <w:r>
        <w:t xml:space="preserve">Oxford University </w:t>
      </w:r>
      <w:proofErr w:type="spellStart"/>
      <w:r>
        <w:t>Press</w:t>
      </w:r>
      <w:proofErr w:type="spellEnd"/>
    </w:p>
    <w:p w14:paraId="7CB1F897" w14:textId="77777777" w:rsidR="005D18BA" w:rsidRDefault="005D18BA" w:rsidP="005D18BA">
      <w:pPr>
        <w:spacing w:after="0" w:line="240" w:lineRule="auto"/>
      </w:pPr>
      <w:proofErr w:type="spellStart"/>
      <w:r>
        <w:t>Palgrave</w:t>
      </w:r>
      <w:proofErr w:type="spellEnd"/>
      <w:r>
        <w:t xml:space="preserve"> </w:t>
      </w:r>
      <w:proofErr w:type="spellStart"/>
      <w:r>
        <w:t>Macmillan</w:t>
      </w:r>
      <w:proofErr w:type="spellEnd"/>
    </w:p>
    <w:p w14:paraId="529AB29D" w14:textId="77777777" w:rsidR="005D18BA" w:rsidRDefault="005D18BA" w:rsidP="005D18BA">
      <w:pPr>
        <w:spacing w:after="0" w:line="240" w:lineRule="auto"/>
      </w:pPr>
      <w:proofErr w:type="spellStart"/>
      <w:r>
        <w:t>Peeters</w:t>
      </w:r>
      <w:proofErr w:type="spellEnd"/>
      <w:r>
        <w:t xml:space="preserve"> </w:t>
      </w:r>
      <w:proofErr w:type="spellStart"/>
      <w:r>
        <w:t>Publishers</w:t>
      </w:r>
      <w:proofErr w:type="spellEnd"/>
    </w:p>
    <w:p w14:paraId="13C31152" w14:textId="77777777" w:rsidR="005D18BA" w:rsidRDefault="005D18BA" w:rsidP="005D18BA">
      <w:pPr>
        <w:spacing w:after="0" w:line="240" w:lineRule="auto"/>
      </w:pPr>
      <w:r>
        <w:t>Peter Lang</w:t>
      </w:r>
    </w:p>
    <w:p w14:paraId="3D7C39ED" w14:textId="77777777" w:rsidR="005D18BA" w:rsidRDefault="005D18BA" w:rsidP="005D18BA">
      <w:pPr>
        <w:spacing w:after="0" w:line="240" w:lineRule="auto"/>
      </w:pPr>
      <w:r>
        <w:t xml:space="preserve">Polity </w:t>
      </w:r>
      <w:proofErr w:type="spellStart"/>
      <w:r>
        <w:t>Press</w:t>
      </w:r>
      <w:proofErr w:type="spellEnd"/>
    </w:p>
    <w:p w14:paraId="61C70958" w14:textId="77777777" w:rsidR="005D18BA" w:rsidRDefault="005D18BA" w:rsidP="005D18BA">
      <w:pPr>
        <w:spacing w:after="0" w:line="240" w:lineRule="auto"/>
      </w:pPr>
      <w:proofErr w:type="spellStart"/>
      <w:r>
        <w:t>Princeton</w:t>
      </w:r>
      <w:proofErr w:type="spellEnd"/>
      <w:r>
        <w:t xml:space="preserve"> University </w:t>
      </w:r>
      <w:proofErr w:type="spellStart"/>
      <w:r>
        <w:t>Press</w:t>
      </w:r>
      <w:proofErr w:type="spellEnd"/>
    </w:p>
    <w:p w14:paraId="2BBE636A" w14:textId="77777777" w:rsidR="005D18BA" w:rsidRDefault="005D18BA" w:rsidP="005D18BA">
      <w:pPr>
        <w:spacing w:after="0" w:line="240" w:lineRule="auto"/>
      </w:pPr>
      <w:proofErr w:type="spellStart"/>
      <w:r>
        <w:t>Rowman</w:t>
      </w:r>
      <w:proofErr w:type="spellEnd"/>
      <w:r>
        <w:t xml:space="preserve"> &amp; </w:t>
      </w:r>
      <w:proofErr w:type="spellStart"/>
      <w:r>
        <w:t>Littlefield</w:t>
      </w:r>
      <w:proofErr w:type="spellEnd"/>
    </w:p>
    <w:p w14:paraId="41F8A94F" w14:textId="77777777" w:rsidR="005D18BA" w:rsidRDefault="005D18BA" w:rsidP="005D18BA">
      <w:pPr>
        <w:spacing w:after="0" w:line="240" w:lineRule="auto"/>
      </w:pPr>
      <w:proofErr w:type="spellStart"/>
      <w:r>
        <w:t>Sage</w:t>
      </w:r>
      <w:proofErr w:type="spellEnd"/>
      <w:r>
        <w:t xml:space="preserve"> </w:t>
      </w:r>
      <w:proofErr w:type="spellStart"/>
      <w:r>
        <w:t>Publications</w:t>
      </w:r>
      <w:proofErr w:type="spellEnd"/>
    </w:p>
    <w:p w14:paraId="7B840055" w14:textId="77777777" w:rsidR="005D18BA" w:rsidRDefault="005D18BA" w:rsidP="005D18BA">
      <w:pPr>
        <w:spacing w:after="0" w:line="240" w:lineRule="auto"/>
      </w:pPr>
      <w:proofErr w:type="spellStart"/>
      <w:r>
        <w:t>Springer</w:t>
      </w:r>
      <w:proofErr w:type="spellEnd"/>
    </w:p>
    <w:p w14:paraId="120DA568" w14:textId="77777777" w:rsidR="005D18BA" w:rsidRDefault="005D18BA" w:rsidP="005D18BA">
      <w:pPr>
        <w:spacing w:after="0" w:line="240" w:lineRule="auto"/>
      </w:pPr>
      <w:r>
        <w:t xml:space="preserve">Stanford University </w:t>
      </w:r>
      <w:proofErr w:type="spellStart"/>
      <w:r>
        <w:t>Press</w:t>
      </w:r>
      <w:proofErr w:type="spellEnd"/>
    </w:p>
    <w:p w14:paraId="308F493E" w14:textId="77777777" w:rsidR="005D18BA" w:rsidRDefault="005D18BA" w:rsidP="005D18BA">
      <w:pPr>
        <w:spacing w:after="0" w:line="240" w:lineRule="auto"/>
      </w:pPr>
      <w:proofErr w:type="spellStart"/>
      <w:r>
        <w:t>Suhrkamp</w:t>
      </w:r>
      <w:proofErr w:type="spellEnd"/>
    </w:p>
    <w:p w14:paraId="03F9ADCA" w14:textId="77777777" w:rsidR="005D18BA" w:rsidRDefault="005D18BA" w:rsidP="005D18BA">
      <w:pPr>
        <w:spacing w:after="0" w:line="240" w:lineRule="auto"/>
      </w:pPr>
      <w:r>
        <w:t>T&amp;T Clark</w:t>
      </w:r>
    </w:p>
    <w:p w14:paraId="1C8CBED4" w14:textId="77777777" w:rsidR="005D18BA" w:rsidRDefault="005D18BA" w:rsidP="005D18BA">
      <w:pPr>
        <w:spacing w:after="0" w:line="240" w:lineRule="auto"/>
      </w:pPr>
      <w:r>
        <w:t xml:space="preserve">Taylor &amp; Francis Group (vč. </w:t>
      </w:r>
      <w:proofErr w:type="spellStart"/>
      <w:r>
        <w:t>Routledge</w:t>
      </w:r>
      <w:proofErr w:type="spellEnd"/>
      <w:r>
        <w:t xml:space="preserve">, CRC </w:t>
      </w:r>
      <w:proofErr w:type="spellStart"/>
      <w:r>
        <w:t>Press</w:t>
      </w:r>
      <w:proofErr w:type="spellEnd"/>
      <w:r>
        <w:t>)</w:t>
      </w:r>
    </w:p>
    <w:p w14:paraId="5E819771" w14:textId="77777777" w:rsidR="005D18BA" w:rsidRDefault="005D18BA" w:rsidP="005D18BA">
      <w:pPr>
        <w:spacing w:after="0" w:line="240" w:lineRule="auto"/>
      </w:pPr>
      <w:proofErr w:type="gramStart"/>
      <w:r>
        <w:t>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Columbia </w:t>
      </w:r>
      <w:proofErr w:type="spellStart"/>
      <w:r>
        <w:t>Press</w:t>
      </w:r>
      <w:proofErr w:type="spellEnd"/>
    </w:p>
    <w:p w14:paraId="2C9BAE62" w14:textId="77777777" w:rsidR="005D18BA" w:rsidRDefault="005D18BA" w:rsidP="005D18BA">
      <w:pPr>
        <w:spacing w:after="0" w:line="240" w:lineRule="auto"/>
      </w:pPr>
      <w:proofErr w:type="gramStart"/>
      <w:r>
        <w:t>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Press</w:t>
      </w:r>
      <w:proofErr w:type="spellEnd"/>
    </w:p>
    <w:p w14:paraId="6B7DA164" w14:textId="77777777" w:rsidR="005D18BA" w:rsidRDefault="005D18BA" w:rsidP="005D18BA">
      <w:pPr>
        <w:spacing w:after="0" w:line="240" w:lineRule="auto"/>
      </w:pPr>
      <w:proofErr w:type="gramStart"/>
      <w:r>
        <w:t>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Chicago </w:t>
      </w:r>
      <w:proofErr w:type="spellStart"/>
      <w:r>
        <w:t>Press</w:t>
      </w:r>
      <w:proofErr w:type="spellEnd"/>
    </w:p>
    <w:p w14:paraId="4DA57795" w14:textId="77777777" w:rsidR="005D18BA" w:rsidRDefault="005D18BA" w:rsidP="005D18BA">
      <w:pPr>
        <w:spacing w:after="0" w:line="240" w:lineRule="auto"/>
      </w:pPr>
      <w:proofErr w:type="gramStart"/>
      <w:r>
        <w:t>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Michigan </w:t>
      </w:r>
      <w:proofErr w:type="spellStart"/>
      <w:r>
        <w:t>Press</w:t>
      </w:r>
      <w:proofErr w:type="spellEnd"/>
      <w:r>
        <w:t xml:space="preserve"> </w:t>
      </w:r>
    </w:p>
    <w:p w14:paraId="5FE96B84" w14:textId="77777777" w:rsidR="005D18BA" w:rsidRDefault="005D18BA" w:rsidP="005D18BA">
      <w:pPr>
        <w:spacing w:after="0" w:line="240" w:lineRule="auto"/>
      </w:pPr>
      <w:proofErr w:type="gramStart"/>
      <w:r>
        <w:t>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Minnesota </w:t>
      </w:r>
      <w:proofErr w:type="spellStart"/>
      <w:r>
        <w:t>Press</w:t>
      </w:r>
      <w:proofErr w:type="spellEnd"/>
    </w:p>
    <w:p w14:paraId="18CE7F5F" w14:textId="77777777" w:rsidR="005D18BA" w:rsidRDefault="005D18BA" w:rsidP="005D18BA">
      <w:pPr>
        <w:spacing w:after="0" w:line="240" w:lineRule="auto"/>
      </w:pPr>
      <w:proofErr w:type="gramStart"/>
      <w:r>
        <w:t>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Carolina </w:t>
      </w:r>
      <w:proofErr w:type="spellStart"/>
      <w:r>
        <w:t>Press</w:t>
      </w:r>
      <w:proofErr w:type="spellEnd"/>
    </w:p>
    <w:p w14:paraId="44F91FE0" w14:textId="77777777" w:rsidR="005D18BA" w:rsidRDefault="005D18BA" w:rsidP="005D18BA">
      <w:pPr>
        <w:spacing w:after="0" w:line="240" w:lineRule="auto"/>
      </w:pPr>
      <w:proofErr w:type="gramStart"/>
      <w:r>
        <w:t>University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Pennsylvania</w:t>
      </w:r>
      <w:proofErr w:type="spellEnd"/>
      <w:r>
        <w:t xml:space="preserve"> </w:t>
      </w:r>
      <w:proofErr w:type="spellStart"/>
      <w:r>
        <w:t>Press</w:t>
      </w:r>
      <w:proofErr w:type="spellEnd"/>
    </w:p>
    <w:p w14:paraId="2448AF57" w14:textId="77777777" w:rsidR="005D18BA" w:rsidRDefault="005D18BA" w:rsidP="005D18BA">
      <w:pPr>
        <w:spacing w:after="0" w:line="240" w:lineRule="auto"/>
      </w:pPr>
      <w:proofErr w:type="spellStart"/>
      <w:r>
        <w:t>Vandenhoeck</w:t>
      </w:r>
      <w:proofErr w:type="spellEnd"/>
      <w:r>
        <w:t xml:space="preserve"> &amp; </w:t>
      </w:r>
      <w:proofErr w:type="spellStart"/>
      <w:r>
        <w:t>Ruprecht</w:t>
      </w:r>
      <w:proofErr w:type="spellEnd"/>
    </w:p>
    <w:p w14:paraId="137B63B7" w14:textId="77777777" w:rsidR="005D18BA" w:rsidRDefault="005D18BA" w:rsidP="005D18BA">
      <w:pPr>
        <w:spacing w:after="0" w:line="240" w:lineRule="auto"/>
      </w:pPr>
      <w:proofErr w:type="spellStart"/>
      <w:r>
        <w:t>Verlag</w:t>
      </w:r>
      <w:proofErr w:type="spellEnd"/>
      <w:r>
        <w:t xml:space="preserve"> der </w:t>
      </w:r>
      <w:proofErr w:type="spellStart"/>
      <w:r>
        <w:t>Österreichischen</w:t>
      </w:r>
      <w:proofErr w:type="spellEnd"/>
      <w:r>
        <w:t xml:space="preserve"> Akademie der </w:t>
      </w:r>
      <w:proofErr w:type="spellStart"/>
      <w:r>
        <w:t>Wissenschaften</w:t>
      </w:r>
      <w:proofErr w:type="spellEnd"/>
    </w:p>
    <w:p w14:paraId="7FAD256A" w14:textId="77777777" w:rsidR="005D18BA" w:rsidRDefault="005D18BA" w:rsidP="005D18BA">
      <w:pPr>
        <w:spacing w:after="0" w:line="240" w:lineRule="auto"/>
      </w:pPr>
      <w:proofErr w:type="spellStart"/>
      <w:r>
        <w:t>Verlag</w:t>
      </w:r>
      <w:proofErr w:type="spellEnd"/>
      <w:r>
        <w:t xml:space="preserve"> Julius </w:t>
      </w:r>
      <w:proofErr w:type="spellStart"/>
      <w:r>
        <w:t>Klinkhardt</w:t>
      </w:r>
      <w:proofErr w:type="spellEnd"/>
    </w:p>
    <w:p w14:paraId="30814DB8" w14:textId="77777777" w:rsidR="005D18BA" w:rsidRDefault="005D18BA" w:rsidP="005D18BA">
      <w:pPr>
        <w:spacing w:after="0" w:line="240" w:lineRule="auto"/>
      </w:pPr>
      <w:proofErr w:type="spellStart"/>
      <w:r>
        <w:t>Waxmann</w:t>
      </w:r>
      <w:proofErr w:type="spellEnd"/>
      <w:r>
        <w:t xml:space="preserve"> </w:t>
      </w:r>
      <w:proofErr w:type="spellStart"/>
      <w:r>
        <w:t>Verlag</w:t>
      </w:r>
      <w:proofErr w:type="spellEnd"/>
    </w:p>
    <w:p w14:paraId="6B8F4935" w14:textId="77777777" w:rsidR="005D18BA" w:rsidRDefault="005D18BA" w:rsidP="005D18BA">
      <w:pPr>
        <w:spacing w:after="0" w:line="240" w:lineRule="auto"/>
      </w:pPr>
      <w:proofErr w:type="spellStart"/>
      <w:r>
        <w:t>Wiley</w:t>
      </w:r>
      <w:proofErr w:type="spellEnd"/>
      <w:r>
        <w:t xml:space="preserve"> / </w:t>
      </w:r>
      <w:proofErr w:type="spellStart"/>
      <w:r>
        <w:t>Wiley-Blackwell</w:t>
      </w:r>
      <w:proofErr w:type="spellEnd"/>
    </w:p>
    <w:p w14:paraId="72F86D63" w14:textId="77777777" w:rsidR="005D18BA" w:rsidRDefault="005D18BA" w:rsidP="005D18BA">
      <w:pPr>
        <w:spacing w:after="0" w:line="240" w:lineRule="auto"/>
      </w:pPr>
      <w:proofErr w:type="spellStart"/>
      <w:r>
        <w:t>Wydawnictwo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</w:t>
      </w:r>
      <w:proofErr w:type="spellStart"/>
      <w:r>
        <w:t>Warszawskiego</w:t>
      </w:r>
      <w:proofErr w:type="spellEnd"/>
    </w:p>
    <w:p w14:paraId="4E53F13D" w14:textId="3F8967F9" w:rsidR="00C17550" w:rsidRDefault="005D18BA" w:rsidP="005D18BA">
      <w:pPr>
        <w:spacing w:after="0" w:line="240" w:lineRule="auto"/>
      </w:pPr>
      <w:proofErr w:type="spellStart"/>
      <w:r>
        <w:t>Yale</w:t>
      </w:r>
      <w:proofErr w:type="spellEnd"/>
      <w:r>
        <w:t xml:space="preserve"> University </w:t>
      </w:r>
      <w:proofErr w:type="spellStart"/>
      <w:r>
        <w:t>Press</w:t>
      </w:r>
      <w:proofErr w:type="spellEnd"/>
    </w:p>
    <w:sectPr w:rsidR="00C17550" w:rsidSect="005D18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BA"/>
    <w:rsid w:val="00490103"/>
    <w:rsid w:val="005D18BA"/>
    <w:rsid w:val="00B063F9"/>
    <w:rsid w:val="00E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B532"/>
  <w15:chartTrackingRefBased/>
  <w15:docId w15:val="{A3DD03CA-32C2-49FA-92C7-91EFA84D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1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8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Petr</dc:creator>
  <cp:keywords/>
  <dc:description/>
  <cp:lastModifiedBy>Michal Petr</cp:lastModifiedBy>
  <cp:revision>2</cp:revision>
  <dcterms:created xsi:type="dcterms:W3CDTF">2021-11-09T09:15:00Z</dcterms:created>
  <dcterms:modified xsi:type="dcterms:W3CDTF">2021-11-09T09:18:00Z</dcterms:modified>
</cp:coreProperties>
</file>